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1DD" w:rsidRDefault="00BD31DD" w:rsidP="00BD31DD">
      <w:pPr>
        <w:spacing w:after="0" w:line="240" w:lineRule="auto"/>
        <w:rPr>
          <w:rFonts w:ascii="Arial" w:eastAsia="Times New Roman" w:hAnsi="Arial" w:cs="Arial"/>
          <w:color w:val="222222"/>
          <w:sz w:val="21"/>
          <w:szCs w:val="21"/>
          <w:shd w:val="clear" w:color="auto" w:fill="FFFFFF"/>
          <w:lang w:eastAsia="fr-FR"/>
        </w:rPr>
      </w:pPr>
      <w:r w:rsidRPr="00BD31DD">
        <w:rPr>
          <w:rFonts w:ascii="Arial" w:eastAsia="Times New Roman" w:hAnsi="Arial" w:cs="Arial"/>
          <w:color w:val="222222"/>
          <w:sz w:val="21"/>
          <w:szCs w:val="21"/>
          <w:shd w:val="clear" w:color="auto" w:fill="FFFFFF"/>
          <w:lang w:eastAsia="fr-FR"/>
        </w:rPr>
        <w:t>Dans ce tutoriel, nous allons te présenter le catalogue de ressources d’</w:t>
      </w:r>
      <w:proofErr w:type="spellStart"/>
      <w:r w:rsidRPr="00BD31DD">
        <w:rPr>
          <w:rFonts w:ascii="Arial" w:eastAsia="Times New Roman" w:hAnsi="Arial" w:cs="Arial"/>
          <w:color w:val="222222"/>
          <w:sz w:val="21"/>
          <w:szCs w:val="21"/>
          <w:shd w:val="clear" w:color="auto" w:fill="FFFFFF"/>
          <w:lang w:eastAsia="fr-FR"/>
        </w:rPr>
        <w:t>EDOlang</w:t>
      </w:r>
      <w:proofErr w:type="spellEnd"/>
      <w:r w:rsidRPr="00BD31DD">
        <w:rPr>
          <w:rFonts w:ascii="Arial" w:eastAsia="Times New Roman" w:hAnsi="Arial" w:cs="Arial"/>
          <w:color w:val="222222"/>
          <w:sz w:val="21"/>
          <w:szCs w:val="21"/>
          <w:shd w:val="clear" w:color="auto" w:fill="FFFFFF"/>
          <w:lang w:eastAsia="fr-FR"/>
        </w:rPr>
        <w:t xml:space="preserve"> et son fonctionnement.</w:t>
      </w:r>
    </w:p>
    <w:p w:rsidR="00BD31DD" w:rsidRDefault="00BD31DD" w:rsidP="00BD31DD">
      <w:pPr>
        <w:spacing w:after="0" w:line="240" w:lineRule="auto"/>
        <w:rPr>
          <w:rFonts w:ascii="Arial" w:eastAsia="Times New Roman" w:hAnsi="Arial" w:cs="Arial"/>
          <w:b/>
          <w:bCs/>
          <w:i/>
          <w:iCs/>
          <w:color w:val="222222"/>
          <w:sz w:val="21"/>
          <w:szCs w:val="21"/>
          <w:shd w:val="clear" w:color="auto" w:fill="FFFFFF"/>
          <w:lang w:eastAsia="fr-FR"/>
        </w:rPr>
      </w:pPr>
    </w:p>
    <w:p w:rsidR="00BD31DD" w:rsidRPr="00BD31DD" w:rsidRDefault="00BD31DD" w:rsidP="00BD31DD">
      <w:pPr>
        <w:spacing w:after="0" w:line="240" w:lineRule="auto"/>
        <w:rPr>
          <w:rFonts w:ascii="Times New Roman" w:eastAsia="Times New Roman" w:hAnsi="Times New Roman" w:cs="Times New Roman"/>
          <w:sz w:val="24"/>
          <w:szCs w:val="24"/>
          <w:lang w:eastAsia="fr-FR"/>
        </w:rPr>
      </w:pPr>
      <w:r w:rsidRPr="00BD31DD">
        <w:rPr>
          <w:rFonts w:ascii="Arial" w:eastAsia="Times New Roman" w:hAnsi="Arial" w:cs="Arial"/>
          <w:b/>
          <w:bCs/>
          <w:i/>
          <w:iCs/>
          <w:color w:val="222222"/>
          <w:sz w:val="21"/>
          <w:szCs w:val="21"/>
          <w:shd w:val="clear" w:color="auto" w:fill="FFFFFF"/>
          <w:lang w:eastAsia="fr-FR"/>
        </w:rPr>
        <w:t>Comment trouver des ressources ? </w:t>
      </w:r>
    </w:p>
    <w:p w:rsidR="00BD31DD" w:rsidRPr="00BD31DD" w:rsidRDefault="00BD31DD" w:rsidP="00BD31DD">
      <w:pPr>
        <w:shd w:val="clear" w:color="auto" w:fill="FFFFFF"/>
        <w:spacing w:after="30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Tu accèdes au catalogue depuis la page d’accueil d’</w:t>
      </w:r>
      <w:proofErr w:type="spellStart"/>
      <w:r w:rsidRPr="00BD31DD">
        <w:rPr>
          <w:rFonts w:ascii="Arial" w:eastAsia="Times New Roman" w:hAnsi="Arial" w:cs="Arial"/>
          <w:color w:val="222222"/>
          <w:sz w:val="21"/>
          <w:szCs w:val="21"/>
          <w:lang w:eastAsia="fr-FR"/>
        </w:rPr>
        <w:t>EDOlang</w:t>
      </w:r>
      <w:proofErr w:type="spellEnd"/>
      <w:r w:rsidRPr="00BD31DD">
        <w:rPr>
          <w:rFonts w:ascii="Arial" w:eastAsia="Times New Roman" w:hAnsi="Arial" w:cs="Arial"/>
          <w:color w:val="222222"/>
          <w:sz w:val="21"/>
          <w:szCs w:val="21"/>
          <w:lang w:eastAsia="fr-FR"/>
        </w:rPr>
        <w:t>. Connecte-toi pour avoir accès à toutes les fonctionnalités. </w:t>
      </w:r>
    </w:p>
    <w:p w:rsidR="00BD31DD" w:rsidRPr="00BD31DD" w:rsidRDefault="00BD31DD" w:rsidP="00BD31DD">
      <w:pPr>
        <w:shd w:val="clear" w:color="auto" w:fill="FFFFFF"/>
        <w:spacing w:after="30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Tu peux commencer par choisir la langue que tu veux travailler. </w:t>
      </w:r>
    </w:p>
    <w:p w:rsidR="00BD31DD" w:rsidRPr="00BD31DD" w:rsidRDefault="00BD31DD" w:rsidP="00BD31DD">
      <w:pPr>
        <w:shd w:val="clear" w:color="auto" w:fill="FFFFFF"/>
        <w:spacing w:after="30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Le catalogue te propose à la fois des ressources physiques, consultables dans l’un des centres de ressources en langues, et des ressources numériques. </w:t>
      </w:r>
    </w:p>
    <w:p w:rsidR="00BD31DD" w:rsidRPr="00BD31DD" w:rsidRDefault="00BD31DD" w:rsidP="00BD31DD">
      <w:pPr>
        <w:shd w:val="clear" w:color="auto" w:fill="FFFFFF"/>
        <w:spacing w:after="30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Tu peux chercher des ressources de différentes manières :</w:t>
      </w:r>
    </w:p>
    <w:p w:rsidR="00BD31DD" w:rsidRPr="00BD31DD" w:rsidRDefault="00BD31DD" w:rsidP="00BD31DD">
      <w:pPr>
        <w:numPr>
          <w:ilvl w:val="0"/>
          <w:numId w:val="1"/>
        </w:numPr>
        <w:shd w:val="clear" w:color="auto" w:fill="FFFFFF"/>
        <w:spacing w:after="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Si tu as des informations sur la ressource que tu cherches, tu peux inscrire le titre, l’auteur, etc. Tu peux aussi faire une recherche par mot clé.</w:t>
      </w:r>
    </w:p>
    <w:p w:rsidR="00BD31DD" w:rsidRPr="00BD31DD" w:rsidRDefault="00BD31DD" w:rsidP="00BD31DD">
      <w:pPr>
        <w:numPr>
          <w:ilvl w:val="0"/>
          <w:numId w:val="1"/>
        </w:numPr>
        <w:shd w:val="clear" w:color="auto" w:fill="FFFFFF"/>
        <w:spacing w:after="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Tu peux également faire une recherche simple :</w:t>
      </w:r>
    </w:p>
    <w:p w:rsidR="00BD31DD" w:rsidRPr="00BD31DD" w:rsidRDefault="00BD31DD" w:rsidP="00BD31DD">
      <w:pPr>
        <w:numPr>
          <w:ilvl w:val="1"/>
          <w:numId w:val="1"/>
        </w:numPr>
        <w:shd w:val="clear" w:color="auto" w:fill="FFFFFF"/>
        <w:spacing w:after="0" w:line="240" w:lineRule="auto"/>
        <w:ind w:left="1080"/>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Par compétence : “écrire”, “parler”, “écouter”, “lire”. En cliquant, on accède au descriptif résumé des ressources. Il est possible de filtrer ces ressources par type, support, etc. Quand tu cliques sur la ressource choisie, tu accèdes au descriptif détaillé</w:t>
      </w:r>
    </w:p>
    <w:p w:rsidR="00BD31DD" w:rsidRPr="00BD31DD" w:rsidRDefault="00BD31DD" w:rsidP="00BD31DD">
      <w:pPr>
        <w:numPr>
          <w:ilvl w:val="1"/>
          <w:numId w:val="1"/>
        </w:numPr>
        <w:shd w:val="clear" w:color="auto" w:fill="FFFFFF"/>
        <w:spacing w:after="0" w:line="240" w:lineRule="auto"/>
        <w:ind w:left="1080"/>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Tu peux aussi faire une recherche par type de ressources : audio, vidéo, littérature… Les “outils de référence” sont des usuels (dictionnaires, grammaires, etc.). Les “sites d’apprentissage” sont tous accessibles depuis n’importe quel poste informatique sauf les sites à abonnement. Pour consulter ces sites, il faut se rendre dans un centre de ressources en langues. Les “méthodes de langue” sont des livres avec des CD ou des DVD, elles sont donc consultables en centre de ressource en langues uniquement. Les ressources “construire mon apprentissage” t’accompagnent pour définir tes objectifs et ton organisation. </w:t>
      </w:r>
    </w:p>
    <w:p w:rsidR="00BD31DD" w:rsidRPr="00BD31DD" w:rsidRDefault="00BD31DD" w:rsidP="00BD31DD">
      <w:pPr>
        <w:numPr>
          <w:ilvl w:val="1"/>
          <w:numId w:val="1"/>
        </w:numPr>
        <w:shd w:val="clear" w:color="auto" w:fill="FFFFFF"/>
        <w:spacing w:after="0" w:line="240" w:lineRule="auto"/>
        <w:ind w:left="1080"/>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Tu peux enfin sélectionner des bouquets de ressources : ce sont des ressources rassemblées par objectifs </w:t>
      </w:r>
    </w:p>
    <w:p w:rsidR="00BD31DD" w:rsidRPr="00BD31DD" w:rsidRDefault="00BD31DD" w:rsidP="00BD31DD">
      <w:pPr>
        <w:numPr>
          <w:ilvl w:val="0"/>
          <w:numId w:val="1"/>
        </w:numPr>
        <w:shd w:val="clear" w:color="auto" w:fill="FFFFFF"/>
        <w:spacing w:after="0" w:line="240" w:lineRule="auto"/>
        <w:rPr>
          <w:rFonts w:ascii="Arial" w:eastAsia="Times New Roman" w:hAnsi="Arial" w:cs="Arial"/>
          <w:color w:val="222222"/>
          <w:sz w:val="21"/>
          <w:szCs w:val="21"/>
          <w:lang w:eastAsia="fr-FR"/>
        </w:rPr>
      </w:pPr>
      <w:bookmarkStart w:id="0" w:name="_GoBack"/>
      <w:bookmarkEnd w:id="0"/>
      <w:r w:rsidRPr="00BD31DD">
        <w:rPr>
          <w:rFonts w:ascii="Arial" w:eastAsia="Times New Roman" w:hAnsi="Arial" w:cs="Arial"/>
          <w:color w:val="222222"/>
          <w:sz w:val="21"/>
          <w:szCs w:val="21"/>
          <w:lang w:eastAsia="fr-FR"/>
        </w:rPr>
        <w:t>Si tu veux croiser plusieurs critères, tu peux le faire avec la recherche avancée. Tu accèdes notamment aux domaines.</w:t>
      </w:r>
    </w:p>
    <w:p w:rsidR="00BD31DD" w:rsidRPr="00BD31DD" w:rsidRDefault="00BD31DD" w:rsidP="00BD31DD">
      <w:pPr>
        <w:shd w:val="clear" w:color="auto" w:fill="FFFFFF"/>
        <w:spacing w:after="30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Lorsque tu as trouvé une ressource qui t’intéresse, tu as la possibilité de l’ajouter à tes favoris. Tu accèdes à l’ensemble de tes favoris sur la page d’accueil du catalogue. </w:t>
      </w:r>
    </w:p>
    <w:p w:rsidR="00BD31DD" w:rsidRPr="00BD31DD" w:rsidRDefault="00BD31DD" w:rsidP="00BD31DD">
      <w:pPr>
        <w:shd w:val="clear" w:color="auto" w:fill="FFFFFF"/>
        <w:spacing w:after="300" w:line="240" w:lineRule="auto"/>
        <w:rPr>
          <w:rFonts w:ascii="Arial" w:eastAsia="Times New Roman" w:hAnsi="Arial" w:cs="Arial"/>
          <w:color w:val="222222"/>
          <w:sz w:val="21"/>
          <w:szCs w:val="21"/>
          <w:lang w:eastAsia="fr-FR"/>
        </w:rPr>
      </w:pPr>
      <w:r w:rsidRPr="00BD31DD">
        <w:rPr>
          <w:rFonts w:ascii="Arial" w:eastAsia="Times New Roman" w:hAnsi="Arial" w:cs="Arial"/>
          <w:b/>
          <w:bCs/>
          <w:i/>
          <w:iCs/>
          <w:color w:val="222222"/>
          <w:sz w:val="21"/>
          <w:szCs w:val="21"/>
          <w:lang w:eastAsia="fr-FR"/>
        </w:rPr>
        <w:t>Comment utiliser les ressources du catalogue ? </w:t>
      </w:r>
    </w:p>
    <w:p w:rsidR="00BD31DD" w:rsidRPr="00BD31DD" w:rsidRDefault="00BD31DD" w:rsidP="00BD31DD">
      <w:pPr>
        <w:shd w:val="clear" w:color="auto" w:fill="FFFFFF"/>
        <w:spacing w:after="30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Quand tu utilises une ressource du catalogue d’</w:t>
      </w:r>
      <w:proofErr w:type="spellStart"/>
      <w:r w:rsidRPr="00BD31DD">
        <w:rPr>
          <w:rFonts w:ascii="Arial" w:eastAsia="Times New Roman" w:hAnsi="Arial" w:cs="Arial"/>
          <w:color w:val="222222"/>
          <w:sz w:val="21"/>
          <w:szCs w:val="21"/>
          <w:lang w:eastAsia="fr-FR"/>
        </w:rPr>
        <w:t>EDOlang</w:t>
      </w:r>
      <w:proofErr w:type="spellEnd"/>
      <w:r w:rsidRPr="00BD31DD">
        <w:rPr>
          <w:rFonts w:ascii="Arial" w:eastAsia="Times New Roman" w:hAnsi="Arial" w:cs="Arial"/>
          <w:color w:val="222222"/>
          <w:sz w:val="21"/>
          <w:szCs w:val="21"/>
          <w:lang w:eastAsia="fr-FR"/>
        </w:rPr>
        <w:t>, une ligne d’activité est créée automatiquement dans ton carnet de bord. </w:t>
      </w:r>
    </w:p>
    <w:p w:rsidR="00BD31DD" w:rsidRPr="00BD31DD" w:rsidRDefault="00BD31DD" w:rsidP="00BD31DD">
      <w:pPr>
        <w:shd w:val="clear" w:color="auto" w:fill="FFFFFF"/>
        <w:spacing w:after="30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Pour les ressources physiques, cette ligne apparaît une fois que tu as rendu le document dans le centre de ressources. </w:t>
      </w:r>
    </w:p>
    <w:p w:rsidR="00BD31DD" w:rsidRPr="00BD31DD" w:rsidRDefault="00BD31DD" w:rsidP="00BD31DD">
      <w:pPr>
        <w:shd w:val="clear" w:color="auto" w:fill="FFFFFF"/>
        <w:spacing w:after="30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Pour les ressources numériques, il faut que tu ailles sur la description détaillée de la ressource et que tu cliques sur “lancer”. Quand tu as terminé, pense à cliquer sur “arrêter” : une ligne se crée dans ton carnet de bord avec la durée correspondant à ton activité.</w:t>
      </w:r>
    </w:p>
    <w:p w:rsidR="00BD31DD" w:rsidRPr="00BD31DD" w:rsidRDefault="00BD31DD" w:rsidP="00BD31DD">
      <w:pPr>
        <w:shd w:val="clear" w:color="auto" w:fill="FFFFFF"/>
        <w:spacing w:after="30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Tu peux ainsi analyser l’activité que tu viens de réaliser en ajoutant un commentaire.   </w:t>
      </w:r>
    </w:p>
    <w:p w:rsidR="00BD31DD" w:rsidRPr="00BD31DD" w:rsidRDefault="00BD31DD" w:rsidP="00BD31DD">
      <w:pPr>
        <w:shd w:val="clear" w:color="auto" w:fill="FFFFFF"/>
        <w:spacing w:after="30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Si la langue n’est pas la bonne car la ressource est multilingue, tu peux la modifier dans la colonne “action”.</w:t>
      </w:r>
    </w:p>
    <w:p w:rsidR="00612C83" w:rsidRPr="00BD31DD" w:rsidRDefault="00BD31DD" w:rsidP="00BD31DD">
      <w:pPr>
        <w:shd w:val="clear" w:color="auto" w:fill="FFFFFF"/>
        <w:spacing w:after="300" w:line="240" w:lineRule="auto"/>
        <w:rPr>
          <w:rFonts w:ascii="Arial" w:eastAsia="Times New Roman" w:hAnsi="Arial" w:cs="Arial"/>
          <w:color w:val="222222"/>
          <w:sz w:val="21"/>
          <w:szCs w:val="21"/>
          <w:lang w:eastAsia="fr-FR"/>
        </w:rPr>
      </w:pPr>
      <w:r w:rsidRPr="00BD31DD">
        <w:rPr>
          <w:rFonts w:ascii="Arial" w:eastAsia="Times New Roman" w:hAnsi="Arial" w:cs="Arial"/>
          <w:color w:val="222222"/>
          <w:sz w:val="21"/>
          <w:szCs w:val="21"/>
          <w:lang w:eastAsia="fr-FR"/>
        </w:rPr>
        <w:t>Si tu souhaites avoir davantage d’informations sur le catalogue et les ressources, tu peux suivre un atelier sur ce thème ou demander des informations dans un centre de ressources en langues.</w:t>
      </w:r>
    </w:p>
    <w:sectPr w:rsidR="00612C83" w:rsidRPr="00BD3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556F6"/>
    <w:multiLevelType w:val="multilevel"/>
    <w:tmpl w:val="A5A66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DD"/>
    <w:rsid w:val="00612C83"/>
    <w:rsid w:val="00BD31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3AD6"/>
  <w15:chartTrackingRefBased/>
  <w15:docId w15:val="{E2BC2B29-D75B-4DF9-8777-31DB7A5D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D31D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7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2513</Characters>
  <Application>Microsoft Office Word</Application>
  <DocSecurity>0</DocSecurity>
  <Lines>20</Lines>
  <Paragraphs>5</Paragraphs>
  <ScaleCrop>false</ScaleCrop>
  <Company>Université de Lorraine</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Touhami</dc:creator>
  <cp:keywords/>
  <dc:description/>
  <cp:lastModifiedBy>Anais Touhami</cp:lastModifiedBy>
  <cp:revision>1</cp:revision>
  <dcterms:created xsi:type="dcterms:W3CDTF">2022-11-16T09:50:00Z</dcterms:created>
  <dcterms:modified xsi:type="dcterms:W3CDTF">2022-11-16T09:50:00Z</dcterms:modified>
</cp:coreProperties>
</file>